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140" w:type="dxa"/>
        <w:tblInd w:w="-697" w:type="dxa"/>
        <w:tblLayout w:type="fixed"/>
        <w:tblCellMar>
          <w:top w:w="0" w:type="dxa"/>
          <w:left w:w="108" w:type="dxa"/>
          <w:bottom w:w="0" w:type="dxa"/>
          <w:right w:w="108" w:type="dxa"/>
        </w:tblCellMar>
      </w:tblPr>
      <w:tblGrid>
        <w:gridCol w:w="1378"/>
        <w:gridCol w:w="8762"/>
      </w:tblGrid>
      <w:tr>
        <w:tblPrEx>
          <w:tblCellMar>
            <w:top w:w="0" w:type="dxa"/>
            <w:left w:w="108" w:type="dxa"/>
            <w:bottom w:w="0" w:type="dxa"/>
            <w:right w:w="108" w:type="dxa"/>
          </w:tblCellMar>
        </w:tblPrEx>
        <w:trPr>
          <w:trHeight w:val="306" w:hRule="atLeast"/>
        </w:trPr>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5B5B5B"/>
                <w:kern w:val="0"/>
                <w:sz w:val="21"/>
                <w:szCs w:val="21"/>
              </w:rPr>
            </w:pPr>
            <w:r>
              <w:rPr>
                <w:rFonts w:hint="eastAsia" w:ascii="宋体" w:hAnsi="宋体" w:eastAsia="宋体" w:cs="宋体"/>
                <w:b/>
                <w:bCs/>
                <w:color w:val="000000"/>
                <w:kern w:val="0"/>
                <w:sz w:val="21"/>
                <w:szCs w:val="21"/>
              </w:rPr>
              <w:t>部门设置</w:t>
            </w:r>
          </w:p>
        </w:tc>
        <w:tc>
          <w:tcPr>
            <w:tcW w:w="876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5B5B5B"/>
                <w:kern w:val="0"/>
                <w:sz w:val="21"/>
                <w:szCs w:val="21"/>
              </w:rPr>
            </w:pPr>
            <w:r>
              <w:rPr>
                <w:rFonts w:hint="eastAsia" w:ascii="宋体" w:hAnsi="宋体" w:eastAsia="宋体" w:cs="宋体"/>
                <w:b/>
                <w:bCs/>
                <w:color w:val="000000"/>
                <w:kern w:val="0"/>
                <w:sz w:val="21"/>
                <w:szCs w:val="21"/>
              </w:rPr>
              <w:t>工作职责　　　</w:t>
            </w:r>
          </w:p>
        </w:tc>
      </w:tr>
      <w:tr>
        <w:tblPrEx>
          <w:tblCellMar>
            <w:top w:w="0" w:type="dxa"/>
            <w:left w:w="108" w:type="dxa"/>
            <w:bottom w:w="0" w:type="dxa"/>
            <w:right w:w="108" w:type="dxa"/>
          </w:tblCellMar>
        </w:tblPrEx>
        <w:trPr>
          <w:trHeight w:val="726" w:hRule="atLeast"/>
        </w:trPr>
        <w:tc>
          <w:tcPr>
            <w:tcW w:w="137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72"/>
              <w:jc w:val="center"/>
              <w:rPr>
                <w:rFonts w:hint="eastAsia" w:ascii="宋体" w:hAnsi="宋体" w:eastAsia="宋体" w:cs="宋体"/>
                <w:b/>
                <w:bCs/>
                <w:color w:val="5B5B5B"/>
                <w:kern w:val="0"/>
                <w:sz w:val="21"/>
                <w:szCs w:val="21"/>
              </w:rPr>
            </w:pPr>
            <w:r>
              <w:rPr>
                <w:rFonts w:hint="eastAsia" w:ascii="宋体" w:hAnsi="宋体" w:eastAsia="宋体" w:cs="宋体"/>
                <w:b/>
                <w:bCs/>
                <w:color w:val="000000"/>
                <w:kern w:val="0"/>
                <w:sz w:val="21"/>
                <w:szCs w:val="21"/>
              </w:rPr>
              <w:t>主席</w:t>
            </w:r>
          </w:p>
        </w:tc>
        <w:tc>
          <w:tcPr>
            <w:tcW w:w="8762" w:type="dxa"/>
            <w:tcBorders>
              <w:top w:val="single" w:color="auto" w:sz="4" w:space="0"/>
              <w:left w:val="nil"/>
              <w:bottom w:val="single" w:color="auto" w:sz="4" w:space="0"/>
              <w:right w:val="single" w:color="auto" w:sz="4" w:space="0"/>
            </w:tcBorders>
            <w:noWrap w:val="0"/>
            <w:vAlign w:val="center"/>
          </w:tcPr>
          <w:p>
            <w:pPr>
              <w:spacing w:line="240" w:lineRule="auto"/>
              <w:ind w:firstLine="420" w:firstLineChars="200"/>
              <w:jc w:val="left"/>
              <w:rPr>
                <w:rFonts w:hint="eastAsia" w:ascii="宋体" w:hAnsi="宋体" w:eastAsia="宋体" w:cs="宋体"/>
                <w:color w:val="5B5B5B"/>
                <w:kern w:val="0"/>
                <w:sz w:val="21"/>
                <w:szCs w:val="21"/>
              </w:rPr>
            </w:pPr>
            <w:r>
              <w:rPr>
                <w:rFonts w:hint="eastAsia" w:ascii="宋体" w:hAnsi="宋体" w:cs="宋体"/>
                <w:color w:val="000000"/>
                <w:kern w:val="0"/>
                <w:sz w:val="21"/>
                <w:szCs w:val="21"/>
                <w:lang w:eastAsia="zh-CN"/>
              </w:rPr>
              <w:t>统筹院社联、社团建设</w:t>
            </w:r>
            <w:r>
              <w:rPr>
                <w:rFonts w:hint="eastAsia" w:ascii="宋体" w:hAnsi="宋体" w:eastAsia="宋体" w:cs="宋体"/>
                <w:color w:val="000000"/>
                <w:kern w:val="0"/>
                <w:sz w:val="21"/>
                <w:szCs w:val="21"/>
              </w:rPr>
              <w:t>，组织协调社联、社团及实验室的日常工作事宜，保障整个社联体系的运作流畅；加强与校社联及其他院社联的交流与合作。　</w:t>
            </w:r>
          </w:p>
        </w:tc>
      </w:tr>
      <w:tr>
        <w:tblPrEx>
          <w:tblCellMar>
            <w:top w:w="0" w:type="dxa"/>
            <w:left w:w="108" w:type="dxa"/>
            <w:bottom w:w="0" w:type="dxa"/>
            <w:right w:w="108" w:type="dxa"/>
          </w:tblCellMar>
        </w:tblPrEx>
        <w:trPr>
          <w:trHeight w:val="726" w:hRule="atLeast"/>
        </w:trPr>
        <w:tc>
          <w:tcPr>
            <w:tcW w:w="137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72"/>
              <w:jc w:val="center"/>
              <w:rPr>
                <w:rFonts w:hint="eastAsia"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副主席</w:t>
            </w:r>
          </w:p>
        </w:tc>
        <w:tc>
          <w:tcPr>
            <w:tcW w:w="8762" w:type="dxa"/>
            <w:tcBorders>
              <w:top w:val="single" w:color="auto" w:sz="4" w:space="0"/>
              <w:left w:val="nil"/>
              <w:bottom w:val="single" w:color="auto" w:sz="4" w:space="0"/>
              <w:right w:val="single" w:color="auto" w:sz="4" w:space="0"/>
            </w:tcBorders>
            <w:noWrap w:val="0"/>
            <w:vAlign w:val="center"/>
          </w:tcPr>
          <w:p>
            <w:pPr>
              <w:spacing w:line="240" w:lineRule="auto"/>
              <w:ind w:firstLine="420" w:firstLineChars="200"/>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做好社团评优相关工作，对接社联分管部门和分管社团工作，加强社团与社联之间联系。</w:t>
            </w:r>
          </w:p>
        </w:tc>
      </w:tr>
      <w:tr>
        <w:tblPrEx>
          <w:tblCellMar>
            <w:top w:w="0" w:type="dxa"/>
            <w:left w:w="108" w:type="dxa"/>
            <w:bottom w:w="0" w:type="dxa"/>
            <w:right w:w="108" w:type="dxa"/>
          </w:tblCellMar>
        </w:tblPrEx>
        <w:trPr>
          <w:trHeight w:val="1785" w:hRule="atLeast"/>
        </w:trPr>
        <w:tc>
          <w:tcPr>
            <w:tcW w:w="137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lang w:eastAsia="zh-CN"/>
              </w:rPr>
              <w:t>办公室</w:t>
            </w:r>
            <w:bookmarkStart w:id="0" w:name="_GoBack"/>
            <w:bookmarkEnd w:id="0"/>
          </w:p>
        </w:tc>
        <w:tc>
          <w:tcPr>
            <w:tcW w:w="8762" w:type="dxa"/>
            <w:tcBorders>
              <w:top w:val="single" w:color="auto" w:sz="4" w:space="0"/>
              <w:left w:val="nil"/>
              <w:bottom w:val="single" w:color="auto" w:sz="4" w:space="0"/>
              <w:right w:val="single" w:color="auto" w:sz="4" w:space="0"/>
            </w:tcBorders>
            <w:noWrap w:val="0"/>
            <w:vAlign w:val="center"/>
          </w:tcPr>
          <w:p>
            <w:pPr>
              <w:spacing w:line="240" w:lineRule="auto"/>
              <w:ind w:firstLine="420" w:firstLineChars="200"/>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对内负责管理规划社联办公室，包括规划办公室内部格局、管理内部物品借出归还以及值班；策划与组织开展提升个人学习能力和文案功底的秘书处特色知识竞赛；组织社联会议的布置和召开，协助各部门调配人员；负责财务管理、收发，社联各部门、各社团报账。对外负责收取并审核社团上交学校的资料，协助社团进行文件管理；归并网盘中社联各部门、各社团上报的材料；负责整合修正社团年终评优资料，协助社团完成年终评优工作。</w:t>
            </w:r>
          </w:p>
        </w:tc>
      </w:tr>
      <w:tr>
        <w:tblPrEx>
          <w:tblCellMar>
            <w:top w:w="0" w:type="dxa"/>
            <w:left w:w="108" w:type="dxa"/>
            <w:bottom w:w="0" w:type="dxa"/>
            <w:right w:w="108" w:type="dxa"/>
          </w:tblCellMar>
        </w:tblPrEx>
        <w:trPr>
          <w:trHeight w:val="1785" w:hRule="atLeast"/>
        </w:trPr>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b/>
                <w:bCs/>
                <w:color w:val="5B5B5B"/>
                <w:kern w:val="0"/>
                <w:sz w:val="21"/>
                <w:szCs w:val="21"/>
                <w:lang w:val="en-US" w:eastAsia="zh-CN"/>
              </w:rPr>
            </w:pPr>
            <w:r>
              <w:rPr>
                <w:rFonts w:hint="eastAsia" w:ascii="宋体" w:hAnsi="宋体" w:cs="宋体"/>
                <w:b/>
                <w:bCs/>
                <w:color w:val="000000"/>
                <w:kern w:val="0"/>
                <w:sz w:val="21"/>
                <w:szCs w:val="21"/>
                <w:lang w:val="en-US" w:eastAsia="zh-CN"/>
              </w:rPr>
              <w:t>活动部</w:t>
            </w:r>
          </w:p>
        </w:tc>
        <w:tc>
          <w:tcPr>
            <w:tcW w:w="8762" w:type="dxa"/>
            <w:tcBorders>
              <w:top w:val="single" w:color="auto" w:sz="4" w:space="0"/>
              <w:left w:val="nil"/>
              <w:bottom w:val="single" w:color="auto" w:sz="4" w:space="0"/>
              <w:right w:val="single" w:color="auto" w:sz="4" w:space="0"/>
            </w:tcBorders>
            <w:noWrap w:val="0"/>
            <w:vAlign w:val="center"/>
          </w:tcPr>
          <w:p>
            <w:pPr>
              <w:spacing w:line="240" w:lineRule="auto"/>
              <w:ind w:firstLine="420" w:firstLineChars="200"/>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负责对接二课与校社联，对社团活动进行报备工作；</w:t>
            </w:r>
            <w:r>
              <w:rPr>
                <w:rFonts w:hint="eastAsia" w:ascii="宋体" w:hAnsi="宋体" w:eastAsia="宋体" w:cs="宋体"/>
                <w:color w:val="000000"/>
                <w:kern w:val="0"/>
                <w:sz w:val="21"/>
                <w:szCs w:val="21"/>
              </w:rPr>
              <w:t>负责社团活动场地的安排与管理</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协会各类活动的全面跟紧和社团活动现场的安全监督；</w:t>
            </w:r>
            <w:r>
              <w:rPr>
                <w:rFonts w:hint="default" w:ascii="宋体" w:hAnsi="宋体" w:eastAsia="宋体" w:cs="宋体"/>
                <w:color w:val="000000"/>
                <w:kern w:val="0"/>
                <w:sz w:val="21"/>
                <w:szCs w:val="21"/>
              </w:rPr>
              <w:t>对我院所有社团活动的获奖证书进行认定</w:t>
            </w:r>
            <w:r>
              <w:rPr>
                <w:rFonts w:hint="eastAsia" w:ascii="宋体" w:hAnsi="宋体" w:eastAsia="宋体" w:cs="宋体"/>
                <w:color w:val="000000"/>
                <w:kern w:val="0"/>
                <w:sz w:val="21"/>
                <w:szCs w:val="21"/>
                <w:lang w:val="en-US" w:eastAsia="zh-CN"/>
              </w:rPr>
              <w:t>与打印盖章</w:t>
            </w:r>
            <w:r>
              <w:rPr>
                <w:rFonts w:hint="default" w:ascii="宋体" w:hAnsi="宋体" w:eastAsia="宋体" w:cs="宋体"/>
                <w:color w:val="000000"/>
                <w:kern w:val="0"/>
                <w:sz w:val="21"/>
                <w:szCs w:val="21"/>
                <w:lang w:eastAsia="zh-CN"/>
              </w:rPr>
              <w:t>；</w:t>
            </w:r>
            <w:r>
              <w:rPr>
                <w:rFonts w:hint="eastAsia" w:ascii="宋体" w:hAnsi="宋体" w:cs="宋体"/>
                <w:color w:val="000000"/>
                <w:kern w:val="0"/>
                <w:sz w:val="21"/>
                <w:szCs w:val="21"/>
                <w:lang w:val="en-US" w:eastAsia="zh-CN"/>
              </w:rPr>
              <w:t>根据社团实际情况制定社团学年活动规划；策划和组织开展促进社联和社团交流与互动的素质拓展活动；收取和整理各社团活动的立项书、策划书和结项书；协助各社团开展活动组织开展社团策划方案培训会，协助社团制定策划方案；负责社联、社团对外赞助及相关工作；协助社团完成年终评优工作。</w:t>
            </w:r>
          </w:p>
        </w:tc>
      </w:tr>
      <w:tr>
        <w:tblPrEx>
          <w:tblCellMar>
            <w:top w:w="0" w:type="dxa"/>
            <w:left w:w="108" w:type="dxa"/>
            <w:bottom w:w="0" w:type="dxa"/>
            <w:right w:w="108" w:type="dxa"/>
          </w:tblCellMar>
        </w:tblPrEx>
        <w:trPr>
          <w:trHeight w:val="1193" w:hRule="atLeast"/>
        </w:trPr>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新闻部</w:t>
            </w:r>
          </w:p>
        </w:tc>
        <w:tc>
          <w:tcPr>
            <w:tcW w:w="8762" w:type="dxa"/>
            <w:tcBorders>
              <w:top w:val="single" w:color="auto" w:sz="4" w:space="0"/>
              <w:left w:val="nil"/>
              <w:bottom w:val="single" w:color="auto" w:sz="4" w:space="0"/>
              <w:right w:val="single" w:color="auto" w:sz="4" w:space="0"/>
            </w:tcBorders>
            <w:noWrap w:val="0"/>
            <w:vAlign w:val="center"/>
          </w:tcPr>
          <w:p>
            <w:pPr>
              <w:spacing w:line="240" w:lineRule="auto"/>
              <w:ind w:firstLine="420" w:firstLineChars="200"/>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负责学院各社团、各实验室新闻的采集编辑；负责我院社团活动新闻在校内外媒体的发布；为我院社联、社团、实验室各项活动的开展拍摄影像资料并保存至网盘；负责与院学生会新媒体中心交流沟通，积极推送优秀社团活动新闻题材；协助社团完成年终评优工作。</w:t>
            </w:r>
          </w:p>
        </w:tc>
      </w:tr>
      <w:tr>
        <w:tblPrEx>
          <w:tblCellMar>
            <w:top w:w="0" w:type="dxa"/>
            <w:left w:w="108" w:type="dxa"/>
            <w:bottom w:w="0" w:type="dxa"/>
            <w:right w:w="108" w:type="dxa"/>
          </w:tblCellMar>
        </w:tblPrEx>
        <w:trPr>
          <w:trHeight w:val="1193" w:hRule="atLeast"/>
        </w:trPr>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宣传部</w:t>
            </w:r>
          </w:p>
        </w:tc>
        <w:tc>
          <w:tcPr>
            <w:tcW w:w="87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负责学院社联、社团、实验室活动的宣传工作，协助社团、实验室制作活动条幅、海报、展板等宣传材料</w:t>
            </w:r>
            <w:r>
              <w:rPr>
                <w:rFonts w:hint="eastAsia" w:ascii="宋体" w:hAnsi="宋体" w:cs="宋体"/>
                <w:color w:val="000000"/>
                <w:kern w:val="0"/>
                <w:sz w:val="21"/>
                <w:szCs w:val="21"/>
                <w:lang w:val="en-US" w:eastAsia="zh-CN"/>
              </w:rPr>
              <w:t>，协助社团进行线下宣传工作，准备社团评优支撑材料</w:t>
            </w:r>
            <w:r>
              <w:rPr>
                <w:rFonts w:hint="eastAsia" w:ascii="宋体" w:hAnsi="宋体" w:eastAsia="宋体" w:cs="宋体"/>
                <w:color w:val="000000"/>
                <w:kern w:val="0"/>
                <w:sz w:val="21"/>
                <w:szCs w:val="21"/>
                <w:lang w:val="en-US" w:eastAsia="zh-CN"/>
              </w:rPr>
              <w:t>；</w:t>
            </w:r>
            <w:r>
              <w:rPr>
                <w:rFonts w:hint="eastAsia" w:ascii="宋体" w:hAnsi="宋体" w:cs="宋体"/>
                <w:color w:val="000000"/>
                <w:kern w:val="0"/>
                <w:sz w:val="21"/>
                <w:szCs w:val="21"/>
                <w:lang w:val="en-US" w:eastAsia="zh-CN"/>
              </w:rPr>
              <w:t>线上</w:t>
            </w:r>
            <w:r>
              <w:rPr>
                <w:rFonts w:hint="eastAsia" w:ascii="宋体" w:hAnsi="宋体" w:eastAsia="宋体" w:cs="宋体"/>
                <w:color w:val="000000"/>
                <w:kern w:val="0"/>
                <w:sz w:val="21"/>
                <w:szCs w:val="21"/>
                <w:lang w:val="en-US" w:eastAsia="zh-CN"/>
              </w:rPr>
              <w:t>管理和运营社联微信公众号，推送校园精彩活动以及学院社联、社团、实验室的重要通知；举办宣传技能培训会，提高社联、社团宣传部各成员宣传工作水平</w:t>
            </w:r>
            <w:r>
              <w:rPr>
                <w:rFonts w:hint="eastAsia" w:ascii="宋体" w:hAnsi="宋体" w:cs="宋体"/>
                <w:color w:val="000000"/>
                <w:kern w:val="0"/>
                <w:sz w:val="21"/>
                <w:szCs w:val="21"/>
                <w:lang w:val="en-US" w:eastAsia="zh-CN"/>
              </w:rPr>
              <w:t>；协助社团完成年终评优工作。</w:t>
            </w:r>
          </w:p>
        </w:tc>
      </w:tr>
      <w:tr>
        <w:tblPrEx>
          <w:tblCellMar>
            <w:top w:w="0" w:type="dxa"/>
            <w:left w:w="108" w:type="dxa"/>
            <w:bottom w:w="0" w:type="dxa"/>
            <w:right w:w="108" w:type="dxa"/>
          </w:tblCellMar>
        </w:tblPrEx>
        <w:trPr>
          <w:trHeight w:val="1907" w:hRule="atLeast"/>
        </w:trPr>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5B5B5B"/>
                <w:kern w:val="0"/>
                <w:sz w:val="21"/>
                <w:szCs w:val="21"/>
              </w:rPr>
            </w:pPr>
            <w:r>
              <w:rPr>
                <w:rFonts w:hint="eastAsia" w:ascii="宋体" w:hAnsi="宋体" w:eastAsia="宋体" w:cs="宋体"/>
                <w:b/>
                <w:bCs/>
                <w:color w:val="000000"/>
                <w:kern w:val="0"/>
                <w:sz w:val="21"/>
                <w:szCs w:val="21"/>
              </w:rPr>
              <w:t>志愿者</w:t>
            </w:r>
            <w:r>
              <w:rPr>
                <w:rFonts w:hint="eastAsia" w:ascii="宋体" w:hAnsi="宋体" w:eastAsia="宋体" w:cs="宋体"/>
                <w:b/>
                <w:bCs/>
                <w:color w:val="000000"/>
                <w:kern w:val="0"/>
                <w:sz w:val="21"/>
                <w:szCs w:val="21"/>
                <w:lang w:val="en-US" w:eastAsia="zh-CN"/>
              </w:rPr>
              <w:t>团</w:t>
            </w:r>
          </w:p>
        </w:tc>
        <w:tc>
          <w:tcPr>
            <w:tcW w:w="876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420" w:firstLineChars="200"/>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负责</w:t>
            </w:r>
            <w:r>
              <w:rPr>
                <w:rFonts w:hint="eastAsia" w:ascii="宋体" w:hAnsi="宋体" w:cs="宋体"/>
                <w:color w:val="000000"/>
                <w:kern w:val="0"/>
                <w:sz w:val="21"/>
                <w:szCs w:val="21"/>
                <w:lang w:eastAsia="zh-CN"/>
              </w:rPr>
              <w:t>学院志愿服务工作，</w:t>
            </w:r>
            <w:r>
              <w:rPr>
                <w:rFonts w:hint="eastAsia" w:ascii="宋体" w:hAnsi="宋体" w:eastAsia="宋体" w:cs="宋体"/>
                <w:color w:val="000000"/>
                <w:kern w:val="0"/>
                <w:sz w:val="21"/>
                <w:szCs w:val="21"/>
              </w:rPr>
              <w:t>招募</w:t>
            </w:r>
            <w:r>
              <w:rPr>
                <w:rFonts w:hint="eastAsia" w:ascii="宋体" w:hAnsi="宋体" w:cs="宋体"/>
                <w:color w:val="000000"/>
                <w:kern w:val="0"/>
                <w:sz w:val="21"/>
                <w:szCs w:val="21"/>
                <w:lang w:eastAsia="zh-CN"/>
              </w:rPr>
              <w:t>管理</w:t>
            </w:r>
            <w:r>
              <w:rPr>
                <w:rFonts w:hint="eastAsia" w:ascii="宋体" w:hAnsi="宋体" w:eastAsia="宋体" w:cs="宋体"/>
                <w:color w:val="000000"/>
                <w:kern w:val="0"/>
                <w:sz w:val="21"/>
                <w:szCs w:val="21"/>
              </w:rPr>
              <w:t>志愿者，</w:t>
            </w:r>
            <w:r>
              <w:rPr>
                <w:rFonts w:hint="eastAsia" w:ascii="宋体" w:hAnsi="宋体" w:cs="宋体"/>
                <w:color w:val="000000"/>
                <w:kern w:val="0"/>
                <w:sz w:val="21"/>
                <w:szCs w:val="21"/>
                <w:lang w:eastAsia="zh-CN"/>
              </w:rPr>
              <w:t>组织开展学院</w:t>
            </w:r>
            <w:r>
              <w:rPr>
                <w:rFonts w:hint="eastAsia" w:ascii="宋体" w:hAnsi="宋体" w:eastAsia="宋体" w:cs="宋体"/>
                <w:color w:val="000000"/>
                <w:kern w:val="0"/>
                <w:sz w:val="21"/>
                <w:szCs w:val="21"/>
              </w:rPr>
              <w:t>志愿</w:t>
            </w:r>
            <w:r>
              <w:rPr>
                <w:rFonts w:hint="eastAsia" w:ascii="宋体" w:hAnsi="宋体" w:cs="宋体"/>
                <w:color w:val="000000"/>
                <w:kern w:val="0"/>
                <w:sz w:val="21"/>
                <w:szCs w:val="21"/>
                <w:lang w:eastAsia="zh-CN"/>
              </w:rPr>
              <w:t>服务</w:t>
            </w:r>
            <w:r>
              <w:rPr>
                <w:rFonts w:hint="eastAsia" w:ascii="宋体" w:hAnsi="宋体" w:eastAsia="宋体" w:cs="宋体"/>
                <w:color w:val="000000"/>
                <w:kern w:val="0"/>
                <w:sz w:val="21"/>
                <w:szCs w:val="21"/>
              </w:rPr>
              <w:t>活动，树立学院品牌形象；密切加强与其他部门的联系，积极配合其他部门举办活动，共同服务学院，服务同学</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协助社团完成年终评优工作。</w:t>
            </w:r>
          </w:p>
        </w:tc>
      </w:tr>
    </w:tbl>
    <w:p>
      <w:pPr>
        <w:tabs>
          <w:tab w:val="left" w:pos="2541"/>
        </w:tabs>
        <w:jc w:val="left"/>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47ED9"/>
    <w:rsid w:val="04E90B75"/>
    <w:rsid w:val="153865EA"/>
    <w:rsid w:val="24247ED9"/>
    <w:rsid w:val="5E4E5342"/>
    <w:rsid w:val="637E7FF0"/>
    <w:rsid w:val="6CC54CF7"/>
    <w:rsid w:val="7D523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2019-09-02T12:32:00Z</dcterms:created>
  <dc:creator>一大瓶汽水。</dc:creator>
  <cp:lastModifiedBy>lwt</cp:lastModifiedBy>
  <dcterms:modified xsi:type="dcterms:W3CDTF">2020-04-20T08:14:40Z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